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A1A1A"/>
          <w:sz w:val="44"/>
          <w:szCs w:val="44"/>
        </w:rPr>
        <w:t xml:space="preserve">FACTURE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6B7280"/>
          <w:sz w:val="16"/>
          <w:szCs w:val="16"/>
        </w:rPr>
        <w:t xml:space="preserve">Modèle DGI-ready · à compléter · montants en MAD — fourni par BillClear (billclear.io)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3F4F6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ÉMETTEUR</w:t>
            </w:r>
          </w:p>
        </w:tc>
        <w:tc>
          <w:tcPr>
            <w:tcW w:type="pct" w:w="50%"/>
            <w:shd w:fill="F3F4F6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CLIENT (DESTINATAIRE)</w:t>
            </w:r>
          </w:p>
        </w:tc>
      </w:tr>
      <w:tr>
        <w:tc>
          <w:tcPr>
            <w:tcW w:type="pct" w:w="50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[Votre raison sociale] — [SARL / SA / Auto-entrepreneur]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SARL au capital de [100 000] DH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ICE : [000000000000000]  ·  IF : [00000000]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RC : [Casablanca 000000]  ·  Taxe prof. (TP) : [00000000]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[Adresse complète, ville]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Tél : [0000000000]  ·  Email : [contact@...]</w:t>
            </w:r>
          </w:p>
        </w:tc>
        <w:tc>
          <w:tcPr>
            <w:tcW w:type="pct" w:w="50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[Raison sociale du client]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66534"/>
                <w:sz w:val="18"/>
                <w:szCs w:val="18"/>
              </w:rPr>
              <w:t xml:space="preserve">ICE client : [000000000000000]</w:t>
            </w:r>
            <w:r>
              <w:rPr>
                <w:rFonts w:ascii="Calibri" w:cs="Calibri" w:eastAsia="Calibri" w:hAnsi="Calibri"/>
                <w:i/>
                <w:iCs/>
                <w:color w:val="6B7280"/>
                <w:sz w:val="16"/>
                <w:szCs w:val="16"/>
              </w:rPr>
              <w:t xml:space="preserve">  ← indispensable en B2B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IF client : [00000000] (si applicable)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[Adresse du client, 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Facture n° : </w:t>
      </w:r>
      <w:r>
        <w:rPr>
          <w:rFonts w:ascii="Calibri" w:cs="Calibri" w:eastAsia="Calibri" w:hAnsi="Calibri"/>
          <w:color w:val="166534"/>
          <w:sz w:val="20"/>
          <w:szCs w:val="20"/>
        </w:rPr>
        <w:t xml:space="preserve">FAC-2026-000123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     Date : [JJ/MM/2026]     Échéance : [JJ/MM/2026]</w:t>
      </w:r>
    </w:p>
    <w:p>
      <w:pPr>
        <w:spacing w:after="160"/>
      </w:pPr>
      <w:r>
        <w:rPr>
          <w:rFonts w:ascii="Calibri" w:cs="Calibri" w:eastAsia="Calibri" w:hAnsi="Calibri"/>
          <w:i/>
          <w:iCs/>
          <w:color w:val="6B7280"/>
          <w:sz w:val="16"/>
          <w:szCs w:val="16"/>
        </w:rPr>
        <w:t xml:space="preserve">Numérotation séquentielle, sans trou ni doublon.</w:t>
      </w:r>
    </w:p>
    <w:tbl>
      <w:tblPr>
        <w:tblW w:type="pct" w:w="100%"/>
        <w:tblBorders>
          <w:top w:val="single" w:color="D1D5DB" w:sz="2"/>
          <w:left w:val="single" w:color="D1D5DB" w:sz="2"/>
          <w:bottom w:val="single" w:color="D1D5DB" w:sz="2"/>
          <w:right w:val="single" w:color="D1D5DB" w:sz="2"/>
          <w:insideH w:val="single" w:color="D1D5DB" w:sz="2"/>
          <w:insideV w:val="single" w:color="D1D5D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6%"/>
            <w:shd w:fill="C6F63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Désignation précise</w:t>
            </w:r>
          </w:p>
        </w:tc>
        <w:tc>
          <w:tcPr>
            <w:tcW w:type="pct" w:w="10%"/>
            <w:shd w:fill="C6F63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Qté</w:t>
            </w:r>
          </w:p>
        </w:tc>
        <w:tc>
          <w:tcPr>
            <w:tcW w:type="pct" w:w="15%"/>
            <w:shd w:fill="C6F63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PU HT</w:t>
            </w:r>
          </w:p>
        </w:tc>
        <w:tc>
          <w:tcPr>
            <w:tcW w:type="pct" w:w="11%"/>
            <w:shd w:fill="C6F63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TVA</w:t>
            </w:r>
          </w:p>
        </w:tc>
        <w:tc>
          <w:tcPr>
            <w:tcW w:type="pct" w:w="18%"/>
            <w:shd w:fill="C6F63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W w:type="pct" w:w="46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color w:val="6B7280"/>
                <w:sz w:val="18"/>
                <w:szCs w:val="18"/>
              </w:rPr>
              <w:t xml:space="preserve">[Désignation — évitez « prestation diverse »]</w:t>
            </w:r>
          </w:p>
        </w:tc>
        <w:tc>
          <w:tcPr>
            <w:tcW w:type="pct" w:w="10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1</w:t>
            </w:r>
          </w:p>
        </w:tc>
        <w:tc>
          <w:tcPr>
            <w:tcW w:type="pct" w:w="15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1 000,00</w:t>
            </w:r>
          </w:p>
        </w:tc>
        <w:tc>
          <w:tcPr>
            <w:tcW w:type="pct" w:w="11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20 %</w:t>
            </w:r>
          </w:p>
        </w:tc>
        <w:tc>
          <w:tcPr>
            <w:tcW w:type="pct" w:w="18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righ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1 000,00</w:t>
            </w:r>
          </w:p>
        </w:tc>
      </w:tr>
      <w:tr>
        <w:tc>
          <w:tcPr>
            <w:tcW w:type="pct" w:w="46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5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1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8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righ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6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5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1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8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righ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6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5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1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8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righ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6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5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1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8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righ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6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5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1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8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righ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6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5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1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8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righ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46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5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1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pct" w:w="18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righ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tbl>
      <w:tblPr>
        <w:tblW w:type="pct" w:w="100%"/>
        <w:tblBorders>
          <w:top w:val="single" w:color="D1D5DB" w:sz="2"/>
          <w:left w:val="single" w:color="D1D5DB" w:sz="2"/>
          <w:bottom w:val="single" w:color="D1D5DB" w:sz="2"/>
          <w:right w:val="single" w:color="D1D5DB" w:sz="2"/>
          <w:insideH w:val="single" w:color="D1D5DB" w:sz="2"/>
          <w:insideV w:val="single" w:color="D1D5DB" w:sz="2"/>
        </w:tblBorders>
      </w:tblPr>
      <w:tblGrid>
        <w:gridCol w:w="100"/>
        <w:gridCol w:w="100"/>
      </w:tblGrid>
      <w:tr>
        <w:tc>
          <w:tcPr>
            <w:tcW w:type="pct" w:w="82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8"/>
                <w:szCs w:val="18"/>
              </w:rPr>
              <w:t xml:space="preserve">Total HT</w:t>
            </w:r>
          </w:p>
        </w:tc>
        <w:tc>
          <w:tcPr>
            <w:tcW w:type="pct" w:w="18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8"/>
                <w:szCs w:val="18"/>
              </w:rPr>
              <w:t xml:space="preserve">1 000,00 MAD</w:t>
            </w:r>
          </w:p>
        </w:tc>
      </w:tr>
      <w:tr>
        <w:tc>
          <w:tcPr>
            <w:tcW w:type="pct" w:w="82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8"/>
                <w:szCs w:val="18"/>
              </w:rPr>
              <w:t xml:space="preserve">Total TVA (20 %)</w:t>
            </w:r>
          </w:p>
        </w:tc>
        <w:tc>
          <w:tcPr>
            <w:tcW w:type="pct" w:w="18%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8"/>
                <w:szCs w:val="18"/>
              </w:rPr>
              <w:t xml:space="preserve">200,00 MAD</w:t>
            </w:r>
          </w:p>
        </w:tc>
      </w:tr>
      <w:tr>
        <w:tc>
          <w:tcPr>
            <w:tcW w:type="pct" w:w="82%"/>
            <w:shd w:fill="C6F63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2"/>
                <w:szCs w:val="22"/>
              </w:rPr>
              <w:t xml:space="preserve">TOTAL TTC</w:t>
            </w:r>
          </w:p>
        </w:tc>
        <w:tc>
          <w:tcPr>
            <w:tcW w:type="pct" w:w="18%"/>
            <w:shd w:fill="C6F63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8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2"/>
                <w:szCs w:val="22"/>
              </w:rPr>
              <w:t xml:space="preserve">1 200,00 MAD</w:t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Conditions de paiement : [ex. paiement à 30 jours par virement]</w:t>
      </w:r>
    </w:p>
    <w:p>
      <w:pPr>
        <w:spacing w:after="8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RIB / IBAN : [........................................]</w:t>
      </w:r>
    </w:p>
    <w:p>
      <w:pPr>
        <w:spacing w:after="240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Cachet et signature de l’émetteur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À SAVOIR — la facture électronique DGI</w:t>
      </w:r>
    </w:p>
    <w:p>
      <w:pPr>
        <w:spacing w:after="80"/>
      </w:pPr>
      <w:r>
        <w:rPr>
          <w:rFonts w:ascii="Calibri" w:cs="Calibri" w:eastAsia="Calibri" w:hAnsi="Calibri"/>
          <w:color w:val="6B7280"/>
          <w:sz w:val="17"/>
          <w:szCs w:val="17"/>
        </w:rPr>
        <w:t xml:space="preserve">Ce modèle couvre les mentions obligatoires du CGI (art. 145). Le cadre DGI annoncé exigera en plus une facture nativement structurée en XML (UBL 2.1 / CII), validée avant envoi au client — un fichier Word, même parfait, ne la produit pas. BillClear génère ces factures « DGI-ready » automatiquement (mentions contrôlées, numérotation garantie, XML prêt). Essai gratuit sur billclear.io.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facture Maroc — DGI-ready</dc:title>
  <dc:creator>BillClear</dc:creator>
  <cp:lastModifiedBy>Un-named</cp:lastModifiedBy>
  <cp:revision>1</cp:revision>
  <dcterms:created xsi:type="dcterms:W3CDTF">2026-07-16T11:23:55.804Z</dcterms:created>
  <dcterms:modified xsi:type="dcterms:W3CDTF">2026-07-16T11:23:55.805Z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